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7E" w:rsidRPr="00C72F56" w:rsidRDefault="0077397E" w:rsidP="0077397E">
      <w:pPr>
        <w:jc w:val="center"/>
        <w:rPr>
          <w:b/>
          <w:sz w:val="36"/>
          <w:szCs w:val="36"/>
        </w:rPr>
      </w:pPr>
      <w:r w:rsidRPr="00C72F56">
        <w:rPr>
          <w:b/>
          <w:sz w:val="36"/>
          <w:szCs w:val="36"/>
        </w:rPr>
        <w:t>Σύστημα εισαγωγής στην τριτοβάθμια εκπαίδευση</w:t>
      </w:r>
    </w:p>
    <w:p w:rsidR="0077397E" w:rsidRDefault="0077397E" w:rsidP="0077397E">
      <w:pPr>
        <w:pStyle w:val="a7"/>
        <w:numPr>
          <w:ilvl w:val="0"/>
          <w:numId w:val="4"/>
        </w:numPr>
      </w:pPr>
      <w:r>
        <w:t xml:space="preserve">Τα </w:t>
      </w:r>
      <w:r w:rsidRPr="00C72F56">
        <w:t>θέματα προκύπτουν: α) κατά ποσοστό 50%, με κλήρωση από τράπεζα θεμάτων διαβαθμισμένης δυσκολίας και β) κατά ποσοστό 50%, από κεντρική επιτροπή εξετάσεων.</w:t>
      </w:r>
    </w:p>
    <w:p w:rsidR="0077397E" w:rsidRDefault="0077397E" w:rsidP="0077397E">
      <w:pPr>
        <w:pStyle w:val="a7"/>
        <w:numPr>
          <w:ilvl w:val="0"/>
          <w:numId w:val="4"/>
        </w:numPr>
      </w:pPr>
      <w:r>
        <w:t>Σ</w:t>
      </w:r>
      <w:r w:rsidRPr="00C72F56">
        <w:t>υντελεστ</w:t>
      </w:r>
      <w:r>
        <w:t>ές</w:t>
      </w:r>
      <w:r w:rsidRPr="00C72F56">
        <w:t xml:space="preserve"> βαρύτητας </w:t>
      </w:r>
      <w:r>
        <w:t xml:space="preserve">σε </w:t>
      </w:r>
      <w:r w:rsidRPr="00C72F56">
        <w:t xml:space="preserve">κάθε </w:t>
      </w:r>
      <w:r>
        <w:t>μάθημα</w:t>
      </w:r>
      <w:r w:rsidRPr="00C72F56">
        <w:t xml:space="preserve"> ανά Σχολή, Τμήμα ή Εισαγωγική Κατεύθυνση</w:t>
      </w:r>
      <w:r>
        <w:t>.</w:t>
      </w:r>
    </w:p>
    <w:p w:rsidR="0077397E" w:rsidRPr="00456013" w:rsidRDefault="0077397E" w:rsidP="0077397E">
      <w:pPr>
        <w:pStyle w:val="a7"/>
        <w:numPr>
          <w:ilvl w:val="0"/>
          <w:numId w:val="4"/>
        </w:numPr>
        <w:rPr>
          <w:rFonts w:eastAsia="SimSun"/>
        </w:rPr>
      </w:pPr>
      <w:r w:rsidRPr="00456013">
        <w:rPr>
          <w:rFonts w:eastAsia="SimSun"/>
        </w:rPr>
        <w:t>Συνιστάται ανεξάρτητη διοικητική αρχή με την επωνυμία «Εθνικός Οργανισμός Εξετάσεων » (Ε.Ο.Ε.) και διεθνή ονομασία «National Exams Organization». Αποτελεί επιτελικό επιστημονικό φορέα αρμόδιο για ζητήματα που αφορούν στις γραπτές προαγωγικές και απολυτήριες εξετάσεις στο Γενικό και στο Επαγγελματικό Λύκειο, στις εξετάσεις εισαγωγής στην τριτοβάθμια εκπαίδευση και στην δημιουργία και λειτουργία της Τράπεζας Θεμάτων Εξετάσεων Διαβαθμισμένης Δυσκολίας.</w:t>
      </w:r>
      <w:r w:rsidR="00BB4A6B" w:rsidRPr="00456013">
        <w:rPr>
          <w:rFonts w:eastAsia="SimSun"/>
        </w:rPr>
        <w:t xml:space="preserve"> </w:t>
      </w:r>
    </w:p>
    <w:p w:rsidR="00BB4A6B" w:rsidRPr="00456013" w:rsidRDefault="00BB4A6B" w:rsidP="00BB4A6B">
      <w:pPr>
        <w:pStyle w:val="a7"/>
        <w:numPr>
          <w:ilvl w:val="0"/>
          <w:numId w:val="4"/>
        </w:numPr>
        <w:rPr>
          <w:rFonts w:eastAsia="SimSun"/>
        </w:rPr>
      </w:pPr>
      <w:r w:rsidRPr="00456013">
        <w:rPr>
          <w:rFonts w:eastAsia="SimSun"/>
        </w:rPr>
        <w:t>Για την εισαγωγή στην τριτοβάθμια εκπαίδευση λογίζονται:</w:t>
      </w:r>
    </w:p>
    <w:p w:rsidR="00BB4A6B" w:rsidRPr="00456013" w:rsidRDefault="00BB4A6B" w:rsidP="00BB4A6B">
      <w:pPr>
        <w:pStyle w:val="a7"/>
        <w:numPr>
          <w:ilvl w:val="1"/>
          <w:numId w:val="4"/>
        </w:numPr>
        <w:rPr>
          <w:rFonts w:eastAsia="SimSun"/>
        </w:rPr>
      </w:pPr>
      <w:r w:rsidRPr="00456013">
        <w:rPr>
          <w:rFonts w:eastAsia="SimSun"/>
        </w:rPr>
        <w:t>οι βαθμοί των τεσσάρων (4) πανελλαδικώς εξεταζόμενων μαθημάτων πολλαπλασιασμένοι επί τον ο συντελεστή βαρύτητας του κάθε μαθήματος</w:t>
      </w:r>
      <w:r w:rsidRPr="00456013">
        <w:rPr>
          <w:rStyle w:val="a6"/>
          <w:rFonts w:eastAsia="SimSun"/>
        </w:rPr>
        <w:footnoteReference w:id="1"/>
      </w:r>
      <w:r w:rsidRPr="00456013">
        <w:rPr>
          <w:rFonts w:eastAsia="SimSun"/>
        </w:rPr>
        <w:t xml:space="preserve"> και </w:t>
      </w:r>
    </w:p>
    <w:p w:rsidR="00BB4A6B" w:rsidRPr="00456013" w:rsidRDefault="00BB4A6B" w:rsidP="00BB4A6B">
      <w:pPr>
        <w:pStyle w:val="a7"/>
        <w:numPr>
          <w:ilvl w:val="1"/>
          <w:numId w:val="4"/>
        </w:numPr>
        <w:rPr>
          <w:rFonts w:eastAsia="SimSun"/>
        </w:rPr>
      </w:pPr>
      <w:r w:rsidRPr="00456013">
        <w:rPr>
          <w:rFonts w:eastAsia="SimSun"/>
          <w:lang w:val="en-US"/>
        </w:rPr>
        <w:t>o</w:t>
      </w:r>
      <w:r w:rsidRPr="00456013">
        <w:rPr>
          <w:rFonts w:eastAsia="SimSun"/>
        </w:rPr>
        <w:t xml:space="preserve"> Β.Π.Α. (Βαθμός Προαγωγής και Απόλυσης).</w:t>
      </w:r>
    </w:p>
    <w:p w:rsidR="00BB4A6B" w:rsidRPr="00456013" w:rsidRDefault="00BB4A6B" w:rsidP="00BB4A6B">
      <w:pPr>
        <w:pStyle w:val="a7"/>
        <w:numPr>
          <w:ilvl w:val="0"/>
          <w:numId w:val="4"/>
        </w:numPr>
        <w:rPr>
          <w:rFonts w:eastAsia="SimSun"/>
        </w:rPr>
      </w:pPr>
      <w:r w:rsidRPr="00456013">
        <w:rPr>
          <w:rFonts w:eastAsia="SimSun"/>
        </w:rPr>
        <w:t>Ο Β.Π.Α. υπολογίζεται ως εξής:</w:t>
      </w:r>
    </w:p>
    <w:p w:rsidR="00BB4A6B" w:rsidRPr="00456013" w:rsidRDefault="00BB4A6B" w:rsidP="00BB4A6B">
      <w:pPr>
        <w:pStyle w:val="a7"/>
        <w:numPr>
          <w:ilvl w:val="1"/>
          <w:numId w:val="4"/>
        </w:numPr>
        <w:rPr>
          <w:rFonts w:eastAsia="SimSun"/>
        </w:rPr>
      </w:pPr>
      <w:r w:rsidRPr="00456013">
        <w:rPr>
          <w:rFonts w:eastAsia="SimSun"/>
        </w:rPr>
        <w:t xml:space="preserve">Καθένας από τους Γενικούς Βαθμούς Προαγωγής (Γ.Β.Π.) στις τάξεις Β΄ και Γ΄ και ο Γενικός Βαθμός Απόλυσης (Γ.Β.Α.) από τη Γ΄ </w:t>
      </w:r>
      <w:r w:rsidR="00B15EB7" w:rsidRPr="00456013">
        <w:rPr>
          <w:rFonts w:eastAsia="SimSun"/>
        </w:rPr>
        <w:t xml:space="preserve">τάξη </w:t>
      </w:r>
      <w:r w:rsidRPr="00456013">
        <w:rPr>
          <w:rFonts w:eastAsia="SimSun"/>
        </w:rPr>
        <w:t>αναπροσαρμόζ</w:t>
      </w:r>
      <w:r w:rsidR="00062018" w:rsidRPr="00456013">
        <w:rPr>
          <w:rFonts w:eastAsia="SimSun"/>
        </w:rPr>
        <w:t>ε</w:t>
      </w:r>
      <w:r w:rsidRPr="00456013">
        <w:rPr>
          <w:rFonts w:eastAsia="SimSun"/>
        </w:rPr>
        <w:t>ται ως εξής:</w:t>
      </w:r>
    </w:p>
    <w:p w:rsidR="00062018" w:rsidRPr="00456013" w:rsidRDefault="00062018" w:rsidP="00062018">
      <w:pPr>
        <w:pStyle w:val="a7"/>
        <w:numPr>
          <w:ilvl w:val="2"/>
          <w:numId w:val="4"/>
        </w:numPr>
        <w:rPr>
          <w:rFonts w:eastAsia="SimSun"/>
        </w:rPr>
      </w:pPr>
      <w:r w:rsidRPr="00456013">
        <w:rPr>
          <w:rFonts w:eastAsia="SimSun"/>
        </w:rPr>
        <w:t>αν είναι μεγαλύτερος της μιας μονάδας σε σχέση με το μέσο όρο των τεσσάρων ανά Ομάδα Προσανατολισμού μαθημάτων που εξετάζονται σε πανελλήνιες εξετάσεις (Μ.Ο.), αναπροσαρμόζεται ώστε να μην απέχει περισσότερο από μία μονάδα από τον Μ.Ο.,</w:t>
      </w:r>
    </w:p>
    <w:p w:rsidR="00062018" w:rsidRPr="00456013" w:rsidRDefault="00062018" w:rsidP="00062018">
      <w:pPr>
        <w:pStyle w:val="a7"/>
        <w:numPr>
          <w:ilvl w:val="2"/>
          <w:numId w:val="4"/>
        </w:numPr>
        <w:rPr>
          <w:rFonts w:eastAsia="SimSun"/>
        </w:rPr>
      </w:pPr>
      <w:r w:rsidRPr="00456013">
        <w:rPr>
          <w:rFonts w:eastAsia="SimSun"/>
        </w:rPr>
        <w:lastRenderedPageBreak/>
        <w:t>αν είναι μεγαλύτερος μέχρι και μία μονάδα σε σχέση με το μέσο όρο των τεσσάρων ανά Ομάδα Προσανατολισμού μαθημάτων που εξετάζονται σε πανελλήνιες εξετάσεις (Μ.Ο.), δεν αναπροσαρμόζεται και</w:t>
      </w:r>
    </w:p>
    <w:p w:rsidR="00F36EB8" w:rsidRPr="00456013" w:rsidRDefault="00062018" w:rsidP="00062018">
      <w:pPr>
        <w:pStyle w:val="a7"/>
        <w:numPr>
          <w:ilvl w:val="2"/>
          <w:numId w:val="4"/>
        </w:numPr>
        <w:rPr>
          <w:rFonts w:eastAsia="SimSun"/>
        </w:rPr>
      </w:pPr>
      <w:r w:rsidRPr="00456013">
        <w:rPr>
          <w:rFonts w:eastAsia="SimSun"/>
        </w:rPr>
        <w:t>αν είναι μικρότερος σε σχέση με το</w:t>
      </w:r>
      <w:r w:rsidR="00F36EB8" w:rsidRPr="00456013">
        <w:rPr>
          <w:rFonts w:eastAsia="SimSun"/>
        </w:rPr>
        <w:t xml:space="preserve"> μέσο όρο </w:t>
      </w:r>
      <w:r w:rsidRPr="00456013">
        <w:rPr>
          <w:rFonts w:eastAsia="SimSun"/>
        </w:rPr>
        <w:t>των τεσσάρων ανά Ομάδα</w:t>
      </w:r>
      <w:r w:rsidR="00F36EB8" w:rsidRPr="00456013">
        <w:rPr>
          <w:rFonts w:eastAsia="SimSun"/>
        </w:rPr>
        <w:t xml:space="preserve"> </w:t>
      </w:r>
      <w:r w:rsidRPr="00456013">
        <w:rPr>
          <w:rFonts w:eastAsia="SimSun"/>
        </w:rPr>
        <w:t>Προσανατολισμού μαθημάτων</w:t>
      </w:r>
      <w:r w:rsidR="00F36EB8" w:rsidRPr="00456013">
        <w:rPr>
          <w:rFonts w:eastAsia="SimSun"/>
        </w:rPr>
        <w:t xml:space="preserve"> που εξετάζονται σε πανελλήνιες εξετάσεις (Μ.Ο.), </w:t>
      </w:r>
      <w:r w:rsidRPr="00456013">
        <w:rPr>
          <w:rFonts w:eastAsia="SimSun"/>
        </w:rPr>
        <w:t>αναπροσαρμόζεται προς τα</w:t>
      </w:r>
      <w:r w:rsidR="00F36EB8" w:rsidRPr="00456013">
        <w:rPr>
          <w:rFonts w:eastAsia="SimSun"/>
        </w:rPr>
        <w:t xml:space="preserve"> </w:t>
      </w:r>
      <w:r w:rsidRPr="00456013">
        <w:rPr>
          <w:rFonts w:eastAsia="SimSun"/>
        </w:rPr>
        <w:t>άνω κατά μία το πολύ μονάδα (και μέχρι του ορίου του Μ.Ο.)</w:t>
      </w:r>
      <w:r w:rsidR="00F36EB8" w:rsidRPr="00456013">
        <w:rPr>
          <w:rFonts w:eastAsia="SimSun"/>
        </w:rPr>
        <w:t>.</w:t>
      </w:r>
    </w:p>
    <w:p w:rsidR="00F36EB8" w:rsidRPr="00456013" w:rsidRDefault="00F36EB8" w:rsidP="00F36EB8">
      <w:pPr>
        <w:pStyle w:val="a7"/>
        <w:numPr>
          <w:ilvl w:val="1"/>
          <w:numId w:val="4"/>
        </w:numPr>
        <w:rPr>
          <w:rFonts w:eastAsia="SimSun"/>
        </w:rPr>
      </w:pPr>
      <w:r w:rsidRPr="00456013">
        <w:rPr>
          <w:rFonts w:eastAsia="SimSun"/>
        </w:rPr>
        <w:t>Μετά την αναπροσαρμογή:</w:t>
      </w:r>
    </w:p>
    <w:p w:rsidR="00816A70" w:rsidRPr="00456013" w:rsidRDefault="001E6F11">
      <w:pPr>
        <w:rPr>
          <w:rFonts w:eastAsia="SimSun"/>
          <w:b/>
        </w:rPr>
      </w:pPr>
      <m:oMathPara>
        <m:oMathParaPr>
          <m:jc m:val="center"/>
        </m:oMathParaPr>
        <m:oMath>
          <m:r>
            <m:rPr>
              <m:sty m:val="b"/>
            </m:rPr>
            <w:rPr>
              <w:rFonts w:ascii="Cambria Math" w:hAnsi="Cambria Math"/>
            </w:rPr>
            <m:t>Β.Π.Α.=</m:t>
          </m:r>
          <m:f>
            <m:fPr>
              <m:ctrlPr>
                <w:rPr>
                  <w:rFonts w:ascii="Cambria Math" w:hAnsi="Cambria Math"/>
                  <w:b/>
                </w:rPr>
              </m:ctrlPr>
            </m:fPr>
            <m:num>
              <m:r>
                <m:rPr>
                  <m:sty m:val="b"/>
                </m:rPr>
                <w:rPr>
                  <w:rFonts w:ascii="Cambria Math" w:hAnsi="Cambria Math"/>
                </w:rPr>
                <m:t xml:space="preserve">Γ.Β.Π. </m:t>
              </m:r>
              <m:sSup>
                <m:sSupPr>
                  <m:ctrlPr>
                    <w:rPr>
                      <w:rFonts w:ascii="Cambria Math" w:hAnsi="Cambria Math"/>
                      <w:b/>
                    </w:rPr>
                  </m:ctrlPr>
                </m:sSupPr>
                <m:e>
                  <m:r>
                    <m:rPr>
                      <m:sty m:val="b"/>
                    </m:rPr>
                    <w:rPr>
                      <w:rFonts w:ascii="Cambria Math" w:hAnsi="Cambria Math"/>
                    </w:rPr>
                    <m:t>Α</m:t>
                  </m:r>
                </m:e>
                <m:sup>
                  <m:r>
                    <m:rPr>
                      <m:sty m:val="b"/>
                    </m:rPr>
                    <w:rPr>
                      <w:rFonts w:ascii="Cambria Math" w:hAnsi="Cambria Math"/>
                    </w:rPr>
                    <m:t>'</m:t>
                  </m:r>
                </m:sup>
              </m:sSup>
              <m:r>
                <m:rPr>
                  <m:sty m:val="b"/>
                </m:rPr>
                <w:rPr>
                  <w:rFonts w:ascii="Cambria Math" w:hAnsi="Cambria Math"/>
                </w:rPr>
                <m:t>τάξ.*0,4+Γ.Β.Π.</m:t>
              </m:r>
              <m:sSup>
                <m:sSupPr>
                  <m:ctrlPr>
                    <w:rPr>
                      <w:rFonts w:ascii="Cambria Math" w:hAnsi="Cambria Math"/>
                      <w:b/>
                    </w:rPr>
                  </m:ctrlPr>
                </m:sSupPr>
                <m:e>
                  <m:r>
                    <m:rPr>
                      <m:sty m:val="b"/>
                    </m:rPr>
                    <w:rPr>
                      <w:rFonts w:ascii="Cambria Math" w:hAnsi="Cambria Math"/>
                    </w:rPr>
                    <m:t>Β</m:t>
                  </m:r>
                </m:e>
                <m:sup>
                  <m:r>
                    <m:rPr>
                      <m:sty m:val="b"/>
                    </m:rPr>
                    <w:rPr>
                      <w:rFonts w:ascii="Cambria Math" w:hAnsi="Cambria Math"/>
                    </w:rPr>
                    <m:t>'</m:t>
                  </m:r>
                </m:sup>
              </m:sSup>
              <m:r>
                <m:rPr>
                  <m:sty m:val="b"/>
                </m:rPr>
                <w:rPr>
                  <w:rFonts w:ascii="Cambria Math" w:hAnsi="Cambria Math"/>
                </w:rPr>
                <m:t>ταξ.*0,7+Γ.Β.Α.</m:t>
              </m:r>
              <m:sSup>
                <m:sSupPr>
                  <m:ctrlPr>
                    <w:rPr>
                      <w:rFonts w:ascii="Cambria Math" w:hAnsi="Cambria Math"/>
                      <w:b/>
                    </w:rPr>
                  </m:ctrlPr>
                </m:sSupPr>
                <m:e>
                  <m:r>
                    <m:rPr>
                      <m:sty m:val="b"/>
                    </m:rPr>
                    <w:rPr>
                      <w:rFonts w:ascii="Cambria Math" w:hAnsi="Cambria Math"/>
                    </w:rPr>
                    <m:t>Γ</m:t>
                  </m:r>
                </m:e>
                <m:sup>
                  <m:r>
                    <m:rPr>
                      <m:sty m:val="b"/>
                    </m:rPr>
                    <w:rPr>
                      <w:rFonts w:ascii="Cambria Math" w:hAnsi="Cambria Math"/>
                    </w:rPr>
                    <m:t>'</m:t>
                  </m:r>
                </m:sup>
              </m:sSup>
              <m:r>
                <m:rPr>
                  <m:sty m:val="b"/>
                </m:rPr>
                <w:rPr>
                  <w:rFonts w:ascii="Cambria Math" w:hAnsi="Cambria Math"/>
                </w:rPr>
                <m:t>ταξ.*0,9</m:t>
              </m:r>
            </m:num>
            <m:den>
              <m:r>
                <m:rPr>
                  <m:sty m:val="b"/>
                </m:rPr>
                <w:rPr>
                  <w:rFonts w:ascii="Cambria Math" w:hAnsi="Cambria Math"/>
                </w:rPr>
                <m:t>2</m:t>
              </m:r>
            </m:den>
          </m:f>
        </m:oMath>
      </m:oMathPara>
    </w:p>
    <w:p w:rsidR="00F9309C" w:rsidRPr="00456013" w:rsidRDefault="00F9309C">
      <w:pPr>
        <w:rPr>
          <w:rFonts w:eastAsia="SimSun"/>
        </w:rPr>
      </w:pPr>
    </w:p>
    <w:sectPr w:rsidR="00F9309C" w:rsidRPr="004560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19E" w:rsidRDefault="0054219E" w:rsidP="00F9309C">
      <w:pPr>
        <w:spacing w:after="0" w:line="240" w:lineRule="auto"/>
      </w:pPr>
      <w:r>
        <w:separator/>
      </w:r>
    </w:p>
  </w:endnote>
  <w:endnote w:type="continuationSeparator" w:id="0">
    <w:p w:rsidR="0054219E" w:rsidRDefault="0054219E" w:rsidP="00F93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19E" w:rsidRDefault="0054219E" w:rsidP="00F9309C">
      <w:pPr>
        <w:spacing w:after="0" w:line="240" w:lineRule="auto"/>
      </w:pPr>
      <w:r>
        <w:separator/>
      </w:r>
    </w:p>
  </w:footnote>
  <w:footnote w:type="continuationSeparator" w:id="0">
    <w:p w:rsidR="0054219E" w:rsidRDefault="0054219E" w:rsidP="00F9309C">
      <w:pPr>
        <w:spacing w:after="0" w:line="240" w:lineRule="auto"/>
      </w:pPr>
      <w:r>
        <w:continuationSeparator/>
      </w:r>
    </w:p>
  </w:footnote>
  <w:footnote w:id="1">
    <w:p w:rsidR="00BB4A6B" w:rsidRPr="00F9309C" w:rsidRDefault="00BB4A6B" w:rsidP="00BB4A6B">
      <w:pPr>
        <w:pStyle w:val="a5"/>
      </w:pPr>
      <w:r>
        <w:rPr>
          <w:rStyle w:val="a6"/>
        </w:rPr>
        <w:footnoteRef/>
      </w:r>
      <w:r>
        <w:t xml:space="preserve"> </w:t>
      </w:r>
      <w:r w:rsidRPr="00F9309C">
        <w:t xml:space="preserve">Αυτός καθορίζεται </w:t>
      </w:r>
      <w:r>
        <w:t>μ</w:t>
      </w:r>
      <w:r w:rsidRPr="00F9309C">
        <w:t>ε απόφαση του Υπουργού Παιδείας και Θρησκευμάτων, η οποία εκδίδεται το αργότερο την 15η Μαρτίου εκάστου έτους ανά Σχολή, Τμήμα ή Εισαγωγική Κατεύθυνση του τρέχοντος έτους.</w:t>
      </w:r>
      <w:r>
        <w:t xml:space="preserve"> </w:t>
      </w:r>
      <w:r w:rsidRPr="00F9309C">
        <w:t xml:space="preserve">Ο καθορισμός του συντελεστή βαρύτητας σε ένα (1) μάθημα ανά Σχολή, Τμήμα ή Εισαγωγική Κατεύθυνση πραγματοποιείται μετά από πρόταση της γενικής συνέλευσης του αρμόδιου Τμήματος προς τον Υπουργό Παιδείας και Θρησκευμάτων, η οποία περιέρχεται σε αυτόν έως την 1η Μαρτίου εκάστου έτους. </w:t>
      </w:r>
    </w:p>
    <w:p w:rsidR="00BB4A6B" w:rsidRDefault="00BB4A6B" w:rsidP="00BB4A6B">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02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80ACD"/>
    <w:multiLevelType w:val="multilevel"/>
    <w:tmpl w:val="00ECCEB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D94E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C31954"/>
    <w:multiLevelType w:val="multilevel"/>
    <w:tmpl w:val="00ECCEB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F9309C"/>
    <w:rsid w:val="00062018"/>
    <w:rsid w:val="00074AD9"/>
    <w:rsid w:val="001E6F11"/>
    <w:rsid w:val="00251396"/>
    <w:rsid w:val="00285E1A"/>
    <w:rsid w:val="002919B3"/>
    <w:rsid w:val="003E2CFD"/>
    <w:rsid w:val="00456013"/>
    <w:rsid w:val="0053753F"/>
    <w:rsid w:val="0054219E"/>
    <w:rsid w:val="007072EA"/>
    <w:rsid w:val="0077397E"/>
    <w:rsid w:val="007976A2"/>
    <w:rsid w:val="00805634"/>
    <w:rsid w:val="00816A70"/>
    <w:rsid w:val="009E7167"/>
    <w:rsid w:val="00B15EB7"/>
    <w:rsid w:val="00BB4A6B"/>
    <w:rsid w:val="00EB4C96"/>
    <w:rsid w:val="00F06459"/>
    <w:rsid w:val="00F36EB8"/>
    <w:rsid w:val="00F930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67"/>
    <w:pPr>
      <w:spacing w:after="200" w:line="360"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9309C"/>
    <w:rPr>
      <w:color w:val="808080"/>
    </w:rPr>
  </w:style>
  <w:style w:type="paragraph" w:styleId="a4">
    <w:name w:val="Balloon Text"/>
    <w:basedOn w:val="a"/>
    <w:link w:val="Char"/>
    <w:uiPriority w:val="99"/>
    <w:semiHidden/>
    <w:unhideWhenUsed/>
    <w:rsid w:val="00F9309C"/>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F9309C"/>
    <w:rPr>
      <w:rFonts w:ascii="Tahoma" w:hAnsi="Tahoma" w:cs="Tahoma"/>
      <w:sz w:val="16"/>
      <w:szCs w:val="16"/>
    </w:rPr>
  </w:style>
  <w:style w:type="paragraph" w:styleId="a5">
    <w:name w:val="footnote text"/>
    <w:basedOn w:val="a"/>
    <w:link w:val="Char0"/>
    <w:uiPriority w:val="99"/>
    <w:semiHidden/>
    <w:unhideWhenUsed/>
    <w:rsid w:val="00F9309C"/>
    <w:pPr>
      <w:spacing w:after="0" w:line="240" w:lineRule="auto"/>
    </w:pPr>
    <w:rPr>
      <w:sz w:val="20"/>
      <w:szCs w:val="20"/>
    </w:rPr>
  </w:style>
  <w:style w:type="character" w:customStyle="1" w:styleId="Char0">
    <w:name w:val="Κείμενο υποσημείωσης Char"/>
    <w:link w:val="a5"/>
    <w:uiPriority w:val="99"/>
    <w:semiHidden/>
    <w:rsid w:val="00F9309C"/>
    <w:rPr>
      <w:rFonts w:ascii="Times New Roman" w:hAnsi="Times New Roman"/>
      <w:sz w:val="20"/>
      <w:szCs w:val="20"/>
    </w:rPr>
  </w:style>
  <w:style w:type="character" w:styleId="a6">
    <w:name w:val="footnote reference"/>
    <w:uiPriority w:val="99"/>
    <w:semiHidden/>
    <w:unhideWhenUsed/>
    <w:rsid w:val="00F9309C"/>
    <w:rPr>
      <w:vertAlign w:val="superscript"/>
    </w:rPr>
  </w:style>
  <w:style w:type="paragraph" w:styleId="a7">
    <w:name w:val="List Paragraph"/>
    <w:basedOn w:val="a"/>
    <w:uiPriority w:val="34"/>
    <w:qFormat/>
    <w:rsid w:val="007739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10228BB-EF94-4952-A3B2-F017399C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MEd Α. Δ. Ψαλίδας</dc:creator>
  <cp:lastModifiedBy>Fujitsu</cp:lastModifiedBy>
  <cp:revision>2</cp:revision>
  <dcterms:created xsi:type="dcterms:W3CDTF">2013-08-21T23:59:00Z</dcterms:created>
  <dcterms:modified xsi:type="dcterms:W3CDTF">2013-08-21T23:59:00Z</dcterms:modified>
</cp:coreProperties>
</file>